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D4A3" w14:textId="77777777" w:rsidR="00380A0E" w:rsidRPr="00F505ED" w:rsidRDefault="00380A0E" w:rsidP="00380A0E">
      <w:pPr>
        <w:jc w:val="center"/>
      </w:pPr>
      <w:bookmarkStart w:id="0" w:name="_Hlk132982810"/>
      <w:r>
        <w:rPr>
          <w:noProof/>
        </w:rPr>
        <w:drawing>
          <wp:inline distT="0" distB="0" distL="0" distR="0" wp14:anchorId="2A796203" wp14:editId="0DB1E116">
            <wp:extent cx="676275" cy="704850"/>
            <wp:effectExtent l="19050" t="0" r="9525" b="0"/>
            <wp:docPr id="2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1D999" w14:textId="77777777" w:rsidR="006F4E90" w:rsidRDefault="006F4E90" w:rsidP="006F4E90">
      <w:pPr>
        <w:tabs>
          <w:tab w:val="left" w:pos="804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</w:p>
    <w:p w14:paraId="5165B48C" w14:textId="77777777" w:rsidR="006F4E90" w:rsidRDefault="006F4E90" w:rsidP="006F4E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Веселовского сельского поселения</w:t>
      </w:r>
    </w:p>
    <w:p w14:paraId="45CC4357" w14:textId="77777777" w:rsidR="006F4E90" w:rsidRDefault="006F4E90" w:rsidP="006F4E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Павловского района</w:t>
      </w:r>
    </w:p>
    <w:p w14:paraId="48402A56" w14:textId="77777777" w:rsidR="006F4E90" w:rsidRDefault="006F4E90" w:rsidP="006F4E90">
      <w:pPr>
        <w:rPr>
          <w:b/>
          <w:bCs/>
          <w:sz w:val="36"/>
          <w:szCs w:val="36"/>
        </w:rPr>
      </w:pPr>
    </w:p>
    <w:p w14:paraId="60A4F4E4" w14:textId="77777777" w:rsidR="006F4E90" w:rsidRDefault="006F4E90" w:rsidP="006F4E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14:paraId="3353ABE4" w14:textId="77777777" w:rsidR="006F4E90" w:rsidRDefault="006F4E90" w:rsidP="006F4E90">
      <w:pPr>
        <w:rPr>
          <w:b/>
          <w:bCs/>
          <w:sz w:val="36"/>
          <w:szCs w:val="36"/>
        </w:rPr>
      </w:pPr>
    </w:p>
    <w:p w14:paraId="2BF6143C" w14:textId="6D4E329C" w:rsidR="006F4E90" w:rsidRPr="00A75C4A" w:rsidRDefault="00A75C4A" w:rsidP="006F4E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20.12.2023</w:t>
      </w:r>
      <w:r w:rsidR="006F4E90" w:rsidRPr="00A75C4A">
        <w:rPr>
          <w:b/>
          <w:sz w:val="28"/>
          <w:szCs w:val="28"/>
        </w:rPr>
        <w:t xml:space="preserve">                                                          </w:t>
      </w:r>
      <w:r w:rsidR="006F4E90" w:rsidRPr="00A75C4A">
        <w:rPr>
          <w:b/>
          <w:bCs/>
          <w:sz w:val="28"/>
          <w:szCs w:val="28"/>
        </w:rPr>
        <w:t xml:space="preserve">№ </w:t>
      </w:r>
      <w:r>
        <w:rPr>
          <w:b/>
          <w:sz w:val="28"/>
          <w:szCs w:val="28"/>
        </w:rPr>
        <w:t>60/213</w:t>
      </w:r>
    </w:p>
    <w:p w14:paraId="1A730370" w14:textId="77777777" w:rsidR="006F4E90" w:rsidRPr="00A75C4A" w:rsidRDefault="006F4E90" w:rsidP="006F4E90">
      <w:pPr>
        <w:jc w:val="center"/>
        <w:rPr>
          <w:sz w:val="28"/>
          <w:szCs w:val="28"/>
        </w:rPr>
      </w:pPr>
      <w:r w:rsidRPr="00A75C4A">
        <w:rPr>
          <w:sz w:val="28"/>
          <w:szCs w:val="28"/>
        </w:rPr>
        <w:t>станица Веселая</w:t>
      </w:r>
    </w:p>
    <w:p w14:paraId="495797A9" w14:textId="77777777" w:rsidR="006F4E90" w:rsidRDefault="006F4E90" w:rsidP="006F4E90">
      <w:pPr>
        <w:jc w:val="center"/>
      </w:pPr>
    </w:p>
    <w:p w14:paraId="71B5AE81" w14:textId="7202F79B" w:rsidR="00380A0E" w:rsidRDefault="00380A0E" w:rsidP="00380A0E">
      <w:pPr>
        <w:jc w:val="center"/>
        <w:rPr>
          <w:sz w:val="28"/>
          <w:szCs w:val="28"/>
        </w:rPr>
      </w:pPr>
    </w:p>
    <w:p w14:paraId="61F47808" w14:textId="77777777" w:rsidR="002471CF" w:rsidRDefault="002471CF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ADBDC5" w14:textId="77777777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5517410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380A0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471CF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765619DC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DCD4057" w14:textId="77777777" w:rsidR="00A75C4A" w:rsidRDefault="00A75C4A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B008D2" w14:textId="77777777" w:rsidR="00A75C4A" w:rsidRDefault="00A75C4A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2B1152" w14:textId="044F3676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 w:rsidR="00380A0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2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A75C4A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80A0E">
        <w:rPr>
          <w:rFonts w:ascii="Times New Roman" w:hAnsi="Times New Roman" w:cs="Times New Roman"/>
          <w:sz w:val="28"/>
          <w:szCs w:val="28"/>
        </w:rPr>
        <w:t>Веселовского</w:t>
      </w:r>
      <w:r w:rsidR="002471C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2471C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0A0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471CF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14:paraId="6F444F21" w14:textId="77777777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380A0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471CF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2A9C84C0" w14:textId="0B611A6A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A75C4A">
        <w:rPr>
          <w:rFonts w:ascii="Times New Roman" w:hAnsi="Times New Roman" w:cs="Times New Roman"/>
          <w:sz w:val="28"/>
          <w:szCs w:val="28"/>
        </w:rPr>
        <w:t>Специалисту</w:t>
      </w:r>
      <w:r w:rsidR="002471CF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A0E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2471CF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решения на официальном сайте администрации </w:t>
      </w:r>
      <w:r w:rsidR="00380A0E">
        <w:rPr>
          <w:rFonts w:ascii="Times New Roman" w:hAnsi="Times New Roman" w:cs="Times New Roman"/>
          <w:sz w:val="28"/>
          <w:szCs w:val="28"/>
        </w:rPr>
        <w:t>Веселовского</w:t>
      </w:r>
      <w:r w:rsidR="002471C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73135B" w:rsidRPr="007313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66232B9F" w14:textId="77777777" w:rsidR="00A75C4A" w:rsidRPr="0073135B" w:rsidRDefault="00A75C4A" w:rsidP="00A75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D729F" w14:textId="77777777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="00380A0E">
        <w:rPr>
          <w:rFonts w:ascii="Times New Roman" w:hAnsi="Times New Roman" w:cs="Times New Roman"/>
          <w:sz w:val="28"/>
          <w:szCs w:val="28"/>
        </w:rPr>
        <w:t xml:space="preserve"> </w:t>
      </w:r>
      <w:r w:rsidR="002471C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043126F" w14:textId="77777777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2471CF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4826E98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1AE116" w14:textId="77777777" w:rsidR="00A75C4A" w:rsidRDefault="00A75C4A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393FA9" w14:textId="77777777" w:rsidR="00A75C4A" w:rsidRDefault="00A75C4A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DA3C56" w14:textId="77777777" w:rsidR="0071221C" w:rsidRDefault="002471CF" w:rsidP="00247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0A0E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2A49639E" w14:textId="77777777" w:rsidR="002471CF" w:rsidRDefault="002471CF" w:rsidP="00247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</w:t>
      </w:r>
      <w:r w:rsidR="00380A0E">
        <w:rPr>
          <w:rFonts w:ascii="Times New Roman" w:hAnsi="Times New Roman" w:cs="Times New Roman"/>
          <w:sz w:val="28"/>
          <w:szCs w:val="28"/>
        </w:rPr>
        <w:t xml:space="preserve">                              Ю.В.Яковченко</w:t>
      </w:r>
    </w:p>
    <w:p w14:paraId="5C7F7CF6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6F800758" w14:textId="77777777" w:rsidTr="00A416F7">
        <w:tc>
          <w:tcPr>
            <w:tcW w:w="9498" w:type="dxa"/>
          </w:tcPr>
          <w:p w14:paraId="21E9DE08" w14:textId="77777777" w:rsidR="00A416F7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0C79B218" w14:textId="77777777" w:rsidR="004072BB" w:rsidRDefault="004072BB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FE50F50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E8E0A6E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302B4737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FF6375C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0077BB4A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51BF574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4AE805B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7FD641F8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7BA97602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408FA59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663DA08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4EE7362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5ECAF0CB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3A432343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5D8393A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3B7A690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07EDF7CD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1CBD98F4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0B87ED3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1D9626D3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00460CC4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18CA7867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1B85C704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08C3F48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D374659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5BD13D70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6F59CAAD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DC02EEF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55600620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7933C73B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0BD0018E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18C84333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6B5372D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30240FEE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4AAD826A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704E9585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3572BAD3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02470EED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55CE281E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6FBD2F61" w14:textId="77777777" w:rsidR="00A75C4A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14:paraId="23F7ABA1" w14:textId="77777777" w:rsidR="00A75C4A" w:rsidRPr="00FF1982" w:rsidRDefault="00A75C4A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1DA69C3A" w14:textId="77777777" w:rsidR="002471CF" w:rsidRDefault="002471CF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75C4A" w14:paraId="3C3FA315" w14:textId="77777777" w:rsidTr="002471C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BC42E38" w14:textId="77777777" w:rsidR="002471CF" w:rsidRPr="004072BB" w:rsidRDefault="002471CF" w:rsidP="0046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02DE951" w14:textId="77777777" w:rsidR="002471CF" w:rsidRDefault="002471CF" w:rsidP="0046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C5CB380" w14:textId="77777777" w:rsidR="002471CF" w:rsidRDefault="002471CF" w:rsidP="0046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решению Совета </w:t>
            </w:r>
          </w:p>
          <w:p w14:paraId="5B5EFEA1" w14:textId="77777777" w:rsidR="002471CF" w:rsidRDefault="004072BB" w:rsidP="0046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2471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665B4B1D" w14:textId="77777777" w:rsidR="002471CF" w:rsidRDefault="002471CF" w:rsidP="00461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575D9590" w14:textId="77777777" w:rsidR="002471CF" w:rsidRDefault="002471CF" w:rsidP="00407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72B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072B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14:paraId="70603A70" w14:textId="77777777" w:rsidR="002471CF" w:rsidRDefault="002471CF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AEC46A" w14:textId="77777777" w:rsidR="002471CF" w:rsidRDefault="002471CF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B1D55F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14:paraId="6653868F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2471C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026183" w:rsidRPr="004072BB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14:paraId="2D5E0F1E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C76AC59" w14:textId="77777777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FBE7985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48BD16" w14:textId="3C44AB1A" w:rsidR="0046154C" w:rsidRPr="00A75C4A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4072BB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2471C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247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2471C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364BA5">
        <w:rPr>
          <w:rFonts w:ascii="Times New Roman" w:hAnsi="Times New Roman" w:cs="Times New Roman"/>
          <w:sz w:val="28"/>
          <w:szCs w:val="28"/>
        </w:rPr>
        <w:t xml:space="preserve"> </w:t>
      </w:r>
      <w:r w:rsidR="00364BA5" w:rsidRPr="00A75C4A">
        <w:rPr>
          <w:rFonts w:ascii="Times New Roman" w:hAnsi="Times New Roman" w:cs="Times New Roman"/>
          <w:sz w:val="28"/>
          <w:szCs w:val="28"/>
        </w:rPr>
        <w:t xml:space="preserve">от </w:t>
      </w:r>
      <w:r w:rsidR="00A75C4A" w:rsidRPr="00A75C4A">
        <w:rPr>
          <w:rFonts w:ascii="Times New Roman" w:hAnsi="Times New Roman" w:cs="Times New Roman"/>
          <w:sz w:val="28"/>
          <w:szCs w:val="28"/>
        </w:rPr>
        <w:t xml:space="preserve">27.10.2011 </w:t>
      </w:r>
      <w:r w:rsidR="00364BA5" w:rsidRPr="00A75C4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75C4A" w:rsidRPr="00A75C4A">
        <w:rPr>
          <w:rFonts w:ascii="Times New Roman" w:hAnsi="Times New Roman" w:cs="Times New Roman"/>
          <w:sz w:val="28"/>
          <w:szCs w:val="28"/>
        </w:rPr>
        <w:t>27/78</w:t>
      </w:r>
      <w:r w:rsidR="00CE220D" w:rsidRPr="00A75C4A">
        <w:rPr>
          <w:rFonts w:ascii="Times New Roman" w:hAnsi="Times New Roman" w:cs="Times New Roman"/>
          <w:sz w:val="28"/>
          <w:szCs w:val="28"/>
        </w:rPr>
        <w:t>.</w:t>
      </w:r>
    </w:p>
    <w:p w14:paraId="468A9955" w14:textId="77777777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4E292F64" w14:textId="77777777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1D0BDD2E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0FCFC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proofErr w:type="gramStart"/>
      <w:r>
        <w:rPr>
          <w:rFonts w:ascii="Times New Roman" w:hAnsi="Times New Roman" w:cs="Times New Roman"/>
          <w:sz w:val="28"/>
          <w:szCs w:val="28"/>
        </w:rPr>
        <w:t>2.О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</w:t>
      </w:r>
      <w:proofErr w:type="gramEnd"/>
      <w:r w:rsidR="00026183" w:rsidRPr="00026183">
        <w:rPr>
          <w:rFonts w:ascii="Times New Roman" w:hAnsi="Times New Roman" w:cs="Times New Roman"/>
          <w:sz w:val="28"/>
          <w:szCs w:val="28"/>
        </w:rPr>
        <w:t>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663021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proofErr w:type="gramStart"/>
      <w:r>
        <w:rPr>
          <w:rFonts w:ascii="Times New Roman" w:hAnsi="Times New Roman" w:cs="Times New Roman"/>
          <w:sz w:val="28"/>
          <w:szCs w:val="28"/>
        </w:rPr>
        <w:t>3.Д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</w:t>
      </w:r>
      <w:proofErr w:type="gramEnd"/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14112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3A3CA3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4FEAD" w14:textId="77777777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2D1AF4F0" w14:textId="77777777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33569A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28E53B9" w14:textId="77777777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4072BB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792EAAC2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59CA6B" w14:textId="77777777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25B71AC1" w14:textId="77777777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7C8A1435" w14:textId="77777777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 xml:space="preserve">, и на день подачи заявления оно находится в их временном владении и пользовании или </w:t>
      </w:r>
      <w:r w:rsidR="000B269E" w:rsidRPr="000B269E">
        <w:rPr>
          <w:sz w:val="28"/>
          <w:szCs w:val="28"/>
        </w:rPr>
        <w:lastRenderedPageBreak/>
        <w:t>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4072BB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58363B00" w14:textId="67970DC2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="00A75C4A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4072BB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338251AF" w14:textId="77777777"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4072BB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4072BB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4072BB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9846285" w14:textId="77777777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4072BB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4072BB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4072BB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4072BB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4072BB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56C447C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0297BA" w14:textId="77777777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4072BB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55838CC4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2BC1F02" w14:textId="77777777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407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18C">
        <w:rPr>
          <w:rFonts w:ascii="Times New Roman" w:hAnsi="Times New Roman" w:cs="Times New Roman"/>
          <w:sz w:val="28"/>
          <w:szCs w:val="28"/>
        </w:rPr>
        <w:t>подготовленных  администраци</w:t>
      </w:r>
      <w:r w:rsidR="00364BA5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364BA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0239566"/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bookmarkEnd w:id="3"/>
      <w:r w:rsidR="004072BB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75FE6777" w14:textId="77777777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</w:t>
      </w:r>
      <w:r w:rsidRPr="00AA45E4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Положения.</w:t>
      </w:r>
    </w:p>
    <w:p w14:paraId="3BD434F8" w14:textId="77777777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14:paraId="5700E7EF" w14:textId="77777777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14:paraId="58CE8D7F" w14:textId="77777777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4072BB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07171A88" w14:textId="0E8E43F1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364BA5">
        <w:rPr>
          <w:sz w:val="28"/>
          <w:szCs w:val="28"/>
        </w:rPr>
        <w:t xml:space="preserve"> администрации </w:t>
      </w:r>
      <w:r w:rsidR="00A75C4A">
        <w:rPr>
          <w:sz w:val="28"/>
          <w:szCs w:val="28"/>
        </w:rPr>
        <w:t>Веселовского</w:t>
      </w:r>
      <w:r w:rsidR="00364BA5">
        <w:rPr>
          <w:sz w:val="28"/>
          <w:szCs w:val="28"/>
        </w:rPr>
        <w:t xml:space="preserve"> сельского поселения Павловского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A75C4A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1C617B45" w14:textId="77777777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62C2D1D1" w14:textId="77777777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</w:t>
      </w:r>
      <w:r w:rsidR="00AC65EF" w:rsidRPr="00AC65E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66F83144" w14:textId="77777777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5A86DE96" w14:textId="77777777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315F504" w14:textId="77777777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7C6549BB" w14:textId="77777777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54CA7C60" w14:textId="77777777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="003156FF" w:rsidRPr="003156FF">
        <w:rPr>
          <w:rFonts w:ascii="Times New Roman" w:hAnsi="Times New Roman" w:cs="Times New Roman"/>
          <w:sz w:val="28"/>
          <w:szCs w:val="28"/>
        </w:rPr>
        <w:t xml:space="preserve">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7125FF0" w14:textId="77777777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16F77E10" w14:textId="77777777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2FABF9AA" w14:textId="77777777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7395BE07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52A8197D" w14:textId="77777777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5E6AF7F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, уполномоченный орган в порядке, установленном законодательством Российской Федерации о приватизации,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14:paraId="4DE761DE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A26D78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24E7D0C" w14:textId="02D126D5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A75C4A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081FF0C8" w14:textId="77777777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4C64DDB4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9A334E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4.Порядок оплаты муниципального имущества,</w:t>
      </w:r>
    </w:p>
    <w:p w14:paraId="3AAF2D46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6D68AC85" w14:textId="77777777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63AF5F3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E43584" w14:textId="77777777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, может составлять по </w:t>
      </w:r>
      <w:r w:rsidR="00F64D8A" w:rsidRPr="00F64D8A">
        <w:rPr>
          <w:rFonts w:ascii="Times New Roman" w:hAnsi="Times New Roman" w:cs="Times New Roman"/>
          <w:sz w:val="28"/>
          <w:szCs w:val="28"/>
        </w:rPr>
        <w:lastRenderedPageBreak/>
        <w:t>выбору субъекта малого или среднего предпринимательства не менее трех и не более пяти лет.</w:t>
      </w:r>
    </w:p>
    <w:p w14:paraId="22E5EAD0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696DE994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38A6BF90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700FC742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285C27EA" w14:textId="75BCF61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</w:t>
      </w:r>
      <w:r w:rsidR="004072BB">
        <w:rPr>
          <w:rFonts w:ascii="Times New Roman" w:hAnsi="Times New Roman" w:cs="Times New Roman"/>
          <w:sz w:val="28"/>
          <w:szCs w:val="28"/>
        </w:rPr>
        <w:t>Веселовского</w:t>
      </w:r>
      <w:r w:rsidR="00364BA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364BA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072B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364BA5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="00364BA5" w:rsidRPr="00A75C4A">
        <w:rPr>
          <w:rFonts w:ascii="Times New Roman" w:hAnsi="Times New Roman" w:cs="Times New Roman"/>
          <w:sz w:val="28"/>
          <w:szCs w:val="28"/>
        </w:rPr>
        <w:t xml:space="preserve">от </w:t>
      </w:r>
      <w:r w:rsidR="00A75C4A" w:rsidRPr="00A75C4A">
        <w:rPr>
          <w:rFonts w:ascii="Times New Roman" w:hAnsi="Times New Roman" w:cs="Times New Roman"/>
          <w:sz w:val="28"/>
          <w:szCs w:val="28"/>
        </w:rPr>
        <w:t>27.10.2011</w:t>
      </w:r>
      <w:r w:rsidR="00364BA5" w:rsidRPr="00A75C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5C4A" w:rsidRPr="00A75C4A">
        <w:rPr>
          <w:rFonts w:ascii="Times New Roman" w:hAnsi="Times New Roman" w:cs="Times New Roman"/>
          <w:sz w:val="28"/>
          <w:szCs w:val="28"/>
        </w:rPr>
        <w:t>27/78</w:t>
      </w:r>
      <w:r w:rsidRPr="00A75C4A">
        <w:rPr>
          <w:rFonts w:ascii="Times New Roman" w:hAnsi="Times New Roman" w:cs="Times New Roman"/>
          <w:sz w:val="28"/>
          <w:szCs w:val="28"/>
        </w:rPr>
        <w:t>.</w:t>
      </w:r>
    </w:p>
    <w:p w14:paraId="7273F613" w14:textId="77777777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65B42E56" w14:textId="77777777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 w:rsidR="004072BB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4C6287C3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7AFF1A9B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27AC9330" w14:textId="53788D04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A75C4A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A75C4A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отношении недвижимого имущества, не </w:t>
      </w:r>
      <w:proofErr w:type="spellStart"/>
      <w:r w:rsidR="00E3610B" w:rsidRPr="00E3610B">
        <w:rPr>
          <w:sz w:val="28"/>
          <w:szCs w:val="28"/>
        </w:rPr>
        <w:t>включенногов</w:t>
      </w:r>
      <w:proofErr w:type="spellEnd"/>
      <w:r w:rsidR="00E3610B" w:rsidRPr="00E3610B">
        <w:rPr>
          <w:sz w:val="28"/>
          <w:szCs w:val="28"/>
        </w:rPr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22975B0D" w14:textId="77777777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8CC78F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 xml:space="preserve"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</w:t>
      </w:r>
      <w:r w:rsidR="00CC23EC" w:rsidRPr="00CC23EC">
        <w:rPr>
          <w:sz w:val="28"/>
          <w:szCs w:val="28"/>
        </w:rPr>
        <w:lastRenderedPageBreak/>
        <w:t>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6AD07783" w14:textId="77777777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 xml:space="preserve">рендуемое имущество включено </w:t>
      </w:r>
      <w:proofErr w:type="spellStart"/>
      <w:r w:rsidR="00CC23EC" w:rsidRPr="00CC23EC">
        <w:rPr>
          <w:sz w:val="28"/>
          <w:szCs w:val="28"/>
        </w:rPr>
        <w:t>в</w:t>
      </w:r>
      <w:r w:rsidR="00D3222A" w:rsidRPr="00D3222A">
        <w:rPr>
          <w:sz w:val="28"/>
          <w:szCs w:val="28"/>
        </w:rPr>
        <w:t>утвержденный</w:t>
      </w:r>
      <w:proofErr w:type="spellEnd"/>
      <w:r w:rsidR="00D3222A" w:rsidRPr="00D3222A">
        <w:rPr>
          <w:sz w:val="28"/>
          <w:szCs w:val="28"/>
        </w:rPr>
        <w:t xml:space="preserve">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5A85D021" w14:textId="77777777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4072BB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 w:rsidR="004072BB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8E5F6C" w14:textId="77777777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22EF9F7B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DC60514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10BDB07A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5827F47D" w14:textId="6FD1142D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A75C4A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26E48E1B" w14:textId="77777777" w:rsidR="00364BA5" w:rsidRDefault="00364BA5" w:rsidP="0036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072B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</w:t>
      </w:r>
    </w:p>
    <w:p w14:paraId="292C7B0D" w14:textId="77777777" w:rsidR="00364BA5" w:rsidRDefault="00364BA5" w:rsidP="0036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</w:t>
      </w:r>
      <w:r w:rsidR="004072BB">
        <w:rPr>
          <w:sz w:val="28"/>
          <w:szCs w:val="28"/>
        </w:rPr>
        <w:t xml:space="preserve">                               Ю.В.Яковченко</w:t>
      </w:r>
    </w:p>
    <w:sectPr w:rsidR="00364BA5" w:rsidSect="00A75C4A">
      <w:headerReference w:type="even" r:id="rId18"/>
      <w:headerReference w:type="default" r:id="rId19"/>
      <w:pgSz w:w="11906" w:h="16838"/>
      <w:pgMar w:top="993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10FB" w14:textId="77777777" w:rsidR="00D61474" w:rsidRDefault="00D61474">
      <w:r>
        <w:separator/>
      </w:r>
    </w:p>
  </w:endnote>
  <w:endnote w:type="continuationSeparator" w:id="0">
    <w:p w14:paraId="457266F9" w14:textId="77777777" w:rsidR="00D61474" w:rsidRDefault="00D6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2A8A" w14:textId="77777777" w:rsidR="00D61474" w:rsidRDefault="00D61474">
      <w:r>
        <w:separator/>
      </w:r>
    </w:p>
  </w:footnote>
  <w:footnote w:type="continuationSeparator" w:id="0">
    <w:p w14:paraId="44E1D431" w14:textId="77777777" w:rsidR="00D61474" w:rsidRDefault="00D6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F959" w14:textId="77777777" w:rsidR="001839FC" w:rsidRDefault="00D4179B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BFBA74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315F" w14:textId="77777777" w:rsidR="001839FC" w:rsidRDefault="00D4179B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72BB">
      <w:rPr>
        <w:rStyle w:val="a4"/>
        <w:noProof/>
      </w:rPr>
      <w:t>2</w:t>
    </w:r>
    <w:r>
      <w:rPr>
        <w:rStyle w:val="a4"/>
      </w:rPr>
      <w:fldChar w:fldCharType="end"/>
    </w:r>
  </w:p>
  <w:p w14:paraId="15E2CF0C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9241669">
    <w:abstractNumId w:val="7"/>
  </w:num>
  <w:num w:numId="2" w16cid:durableId="2027637283">
    <w:abstractNumId w:val="1"/>
  </w:num>
  <w:num w:numId="3" w16cid:durableId="1088044746">
    <w:abstractNumId w:val="6"/>
  </w:num>
  <w:num w:numId="4" w16cid:durableId="996112108">
    <w:abstractNumId w:val="9"/>
  </w:num>
  <w:num w:numId="5" w16cid:durableId="1597908800">
    <w:abstractNumId w:val="0"/>
  </w:num>
  <w:num w:numId="6" w16cid:durableId="1586718336">
    <w:abstractNumId w:val="3"/>
  </w:num>
  <w:num w:numId="7" w16cid:durableId="1554807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128591">
    <w:abstractNumId w:val="5"/>
  </w:num>
  <w:num w:numId="9" w16cid:durableId="780615749">
    <w:abstractNumId w:val="4"/>
  </w:num>
  <w:num w:numId="10" w16cid:durableId="423961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2387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1CF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64BA5"/>
    <w:rsid w:val="0037042D"/>
    <w:rsid w:val="00380A0E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2BB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0123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6F4E90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5341A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7F6E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5C4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199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DC5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179B"/>
    <w:rsid w:val="00D429D9"/>
    <w:rsid w:val="00D449B8"/>
    <w:rsid w:val="00D4671B"/>
    <w:rsid w:val="00D53BF2"/>
    <w:rsid w:val="00D61474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4633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5242D"/>
  <w15:docId w15:val="{F51EE887-BCDD-461F-BA2A-5B664299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247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7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471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47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b">
    <w:name w:val="Table Grid"/>
    <w:basedOn w:val="a1"/>
    <w:rsid w:val="0024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380A0E"/>
    <w:pPr>
      <w:tabs>
        <w:tab w:val="left" w:pos="1092"/>
        <w:tab w:val="left" w:pos="1440"/>
      </w:tabs>
      <w:suppressAutoHyphens/>
      <w:jc w:val="center"/>
    </w:pPr>
    <w:rPr>
      <w:b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380A0E"/>
    <w:rPr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0E92-E425-4A2A-97EC-98FC4B54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Ves</cp:lastModifiedBy>
  <cp:revision>5</cp:revision>
  <cp:lastPrinted>2024-01-03T08:30:00Z</cp:lastPrinted>
  <dcterms:created xsi:type="dcterms:W3CDTF">2023-12-27T16:37:00Z</dcterms:created>
  <dcterms:modified xsi:type="dcterms:W3CDTF">2024-01-03T08:42:00Z</dcterms:modified>
</cp:coreProperties>
</file>